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DB" w:rsidRDefault="00BF5D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5DDB" w:rsidRDefault="00BF5DDB">
      <w:pPr>
        <w:pStyle w:val="ConsPlusNormal"/>
        <w:jc w:val="both"/>
        <w:outlineLvl w:val="0"/>
      </w:pPr>
    </w:p>
    <w:p w:rsidR="00BF5DDB" w:rsidRDefault="00BF5DDB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BF5DDB" w:rsidRDefault="00BF5DDB">
      <w:pPr>
        <w:pStyle w:val="ConsPlusTitle"/>
        <w:jc w:val="center"/>
      </w:pPr>
      <w:r>
        <w:t>N 11-7/И/2-3440</w:t>
      </w:r>
    </w:p>
    <w:p w:rsidR="00BF5DDB" w:rsidRDefault="00BF5DDB">
      <w:pPr>
        <w:pStyle w:val="ConsPlusTitle"/>
        <w:jc w:val="center"/>
      </w:pPr>
    </w:p>
    <w:p w:rsidR="00BF5DDB" w:rsidRDefault="00BF5DDB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BF5DDB" w:rsidRDefault="00BF5DDB">
      <w:pPr>
        <w:pStyle w:val="ConsPlusTitle"/>
        <w:jc w:val="center"/>
      </w:pPr>
      <w:r>
        <w:t>N 4855/26-2/и</w:t>
      </w:r>
    </w:p>
    <w:p w:rsidR="00BF5DDB" w:rsidRDefault="00BF5DDB">
      <w:pPr>
        <w:pStyle w:val="ConsPlusTitle"/>
        <w:jc w:val="center"/>
      </w:pPr>
    </w:p>
    <w:p w:rsidR="00BF5DDB" w:rsidRDefault="00BF5DDB">
      <w:pPr>
        <w:pStyle w:val="ConsPlusTitle"/>
        <w:jc w:val="center"/>
      </w:pPr>
      <w:r>
        <w:t>ПИСЬМО</w:t>
      </w:r>
    </w:p>
    <w:p w:rsidR="00BF5DDB" w:rsidRDefault="00BF5DDB">
      <w:pPr>
        <w:pStyle w:val="ConsPlusTitle"/>
        <w:jc w:val="center"/>
      </w:pPr>
      <w:r>
        <w:t>от 19 апреля 2019 года</w:t>
      </w:r>
    </w:p>
    <w:p w:rsidR="00BF5DDB" w:rsidRDefault="00BF5DDB">
      <w:pPr>
        <w:pStyle w:val="ConsPlusTitle"/>
        <w:jc w:val="center"/>
      </w:pPr>
    </w:p>
    <w:p w:rsidR="00BF5DDB" w:rsidRDefault="00BF5DDB">
      <w:pPr>
        <w:pStyle w:val="ConsPlusTitle"/>
        <w:jc w:val="center"/>
      </w:pPr>
      <w:r>
        <w:t>О ВНЕСЕНИИ ИЗМЕНЕНИЙ</w:t>
      </w:r>
    </w:p>
    <w:p w:rsidR="00BF5DDB" w:rsidRDefault="00BF5DDB">
      <w:pPr>
        <w:pStyle w:val="ConsPlusTitle"/>
        <w:jc w:val="center"/>
      </w:pPr>
      <w:r>
        <w:t>В МЕТОДИЧЕСКИЕ РЕКОМЕНДАЦИИ ПО СПОСОБАМ ОПЛАТЫ МЕДИЦИНСКОЙ</w:t>
      </w:r>
    </w:p>
    <w:p w:rsidR="00BF5DDB" w:rsidRDefault="00BF5DDB">
      <w:pPr>
        <w:pStyle w:val="ConsPlusTitle"/>
        <w:jc w:val="center"/>
      </w:pPr>
      <w:r>
        <w:t>ПОМОЩИ ЗА СЧЕТ СРЕДСТВ ОБЯЗАТЕЛЬНОГО</w:t>
      </w:r>
    </w:p>
    <w:p w:rsidR="00BF5DDB" w:rsidRDefault="00BF5DDB">
      <w:pPr>
        <w:pStyle w:val="ConsPlusTitle"/>
        <w:jc w:val="center"/>
      </w:pPr>
      <w:r>
        <w:t>МЕДИЦИНСКОГО СТРАХОВАНИЯ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в 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по способам оплаты медицинской помощи за счет средств обязательного медицинского страхования, направленные в субъекты Российской Федерации совместным письмом от 21.11.2018 Министерства здравоохранения Российской Федерации N 11-7/10/2-7543 и Федерального фонда обязательного медицинского страхования N 14525/26-1/и.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right"/>
      </w:pPr>
      <w:r>
        <w:t>Заместитель</w:t>
      </w:r>
    </w:p>
    <w:p w:rsidR="00BF5DDB" w:rsidRDefault="00BF5DDB">
      <w:pPr>
        <w:pStyle w:val="ConsPlusNormal"/>
        <w:jc w:val="right"/>
      </w:pPr>
      <w:r>
        <w:t>Министра здравоохранения</w:t>
      </w:r>
    </w:p>
    <w:p w:rsidR="00BF5DDB" w:rsidRDefault="00BF5DDB">
      <w:pPr>
        <w:pStyle w:val="ConsPlusNormal"/>
        <w:jc w:val="right"/>
      </w:pPr>
      <w:r>
        <w:t>Российской Федерации</w:t>
      </w:r>
    </w:p>
    <w:p w:rsidR="00BF5DDB" w:rsidRDefault="00BF5DDB">
      <w:pPr>
        <w:pStyle w:val="ConsPlusNormal"/>
        <w:jc w:val="right"/>
      </w:pPr>
      <w:r>
        <w:t>Н.А.ХОРОВА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right"/>
      </w:pPr>
      <w:r>
        <w:t>Председатель</w:t>
      </w:r>
    </w:p>
    <w:p w:rsidR="00BF5DDB" w:rsidRDefault="00BF5DDB">
      <w:pPr>
        <w:pStyle w:val="ConsPlusNormal"/>
        <w:jc w:val="right"/>
      </w:pPr>
      <w:r>
        <w:t>Федерального фонда обязательного</w:t>
      </w:r>
    </w:p>
    <w:p w:rsidR="00BF5DDB" w:rsidRDefault="00BF5DDB">
      <w:pPr>
        <w:pStyle w:val="ConsPlusNormal"/>
        <w:jc w:val="right"/>
      </w:pPr>
      <w:r>
        <w:t>медицинского страхования</w:t>
      </w:r>
    </w:p>
    <w:p w:rsidR="00BF5DDB" w:rsidRDefault="00BF5DDB">
      <w:pPr>
        <w:pStyle w:val="ConsPlusNormal"/>
        <w:jc w:val="right"/>
      </w:pPr>
      <w:r>
        <w:t>Н.Н.СТАДЧЕНКО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right"/>
        <w:outlineLvl w:val="0"/>
      </w:pPr>
      <w:r>
        <w:t>Приложение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Title"/>
        <w:jc w:val="center"/>
      </w:pPr>
      <w:bookmarkStart w:id="0" w:name="P33"/>
      <w:bookmarkEnd w:id="0"/>
      <w:r>
        <w:t>ИЗМЕНЕНИЯ,</w:t>
      </w:r>
    </w:p>
    <w:p w:rsidR="00BF5DDB" w:rsidRDefault="00BF5DDB">
      <w:pPr>
        <w:pStyle w:val="ConsPlusTitle"/>
        <w:jc w:val="center"/>
      </w:pPr>
      <w:r>
        <w:t>КОТОРЫЕ ВНОСЯТСЯ В МЕТОДИЧЕСКИЕ РЕКОМЕНДАЦИИ ПО СПОСОБАМ</w:t>
      </w:r>
    </w:p>
    <w:p w:rsidR="00BF5DDB" w:rsidRDefault="00BF5DDB">
      <w:pPr>
        <w:pStyle w:val="ConsPlusTitle"/>
        <w:jc w:val="center"/>
      </w:pPr>
      <w:r>
        <w:t>ОПЛАТЫ МЕДИЦИНСКОЙ ПОМОЩИ ЗА СЧЕТ СРЕДСТВ ОБЯЗАТЕЛЬНОГО</w:t>
      </w:r>
    </w:p>
    <w:p w:rsidR="00BF5DDB" w:rsidRDefault="00BF5DDB">
      <w:pPr>
        <w:pStyle w:val="ConsPlusTitle"/>
        <w:jc w:val="center"/>
      </w:pPr>
      <w:r>
        <w:t>МЕДИЦИНСКОГО СТРАХОВАНИЯ ОТ 21.11.2018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II</w:t>
        </w:r>
      </w:hyperlink>
      <w:r>
        <w:t xml:space="preserve"> "Способы оплаты первичной медико-санитарной помощи, оказанной в амбулаторных условиях, в том числе на основе подушевого норматива финансирования на прикрепившихся лиц":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2.2</w:t>
        </w:r>
      </w:hyperlink>
      <w:r>
        <w:t xml:space="preserve"> "Определение дифференцированного подушевого норматива финансирования на прикрепившихся лиц" после слов "коэффициент дифференциации по уровню расходов на содержание отдельных структурных подразделений (фельдшерско-акушерских пунктов, медицинских пунктов," дополнить словами "мобильных медицинских бригад,";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hyperlink r:id="rId8" w:history="1">
        <w:r>
          <w:rPr>
            <w:color w:val="0000FF"/>
          </w:rPr>
          <w:t>Пункт 3.1</w:t>
        </w:r>
      </w:hyperlink>
      <w:r>
        <w:t xml:space="preserve"> "Оплата первичной медико-санитарной помощи по подушевому нормативу финансирования на прикрепившихся лиц в сочетании с оплатой за единицу объема медицинской помощи" дополнить абзацем следующего содержания: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"В случае оказания медицинской помощи мобильными медицинскими бригадами устанавливаются повышающие коэффициенты в размере 1,05 - 1,2 к утвержденным тарифам на посещения, обращения, медицинские услуги или устанавливаются отдельные тарифы на медицинские услуги, оказываемые мобильными медицинскими бригадами (например, для проведения маммографии мобильной медицинской бригадой).";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Пункт 3.2</w:t>
        </w:r>
      </w:hyperlink>
      <w:r>
        <w:t xml:space="preserve"> "Оплата медицинской помощи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организациях" дополнить абзацами следующего содержания: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"В субъектах Российской Федерации, внедряющих новую модель медицинских организаций, оказывающих первичную медико-санитарную помощь на принципах бережливого производства (далее - "Бережливая поликлиника"),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Оценка показателей результативности деятельности "Бережливой поликлиники" осуществляется представителями регионального центра организации первичной медико-санитарной помощи в соответствии с перечнем показателей результативности деятельности "Бережливой поликлиники", представленным в Приложении 8. Рекомендуемый период оценки показателей - 1 раз в год.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года. Медицинская организация получает стимулирующие выплаты в случае достижения всех показателей результативности (11 баллов), установленных в Приложении 8.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При наличии в субъекте Российской Федерации медицинских организаций, имеющих в своей структуре мобильные медицинские бригады, могут быть установлены соответствующие показатели результативности деятельности таких медицинских организаций (в частности, доля посещений,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условий).";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Пункт 3.3</w:t>
        </w:r>
      </w:hyperlink>
      <w:r>
        <w:t xml:space="preserve"> "Оплата медицинской помощи за единицу объема медицинской помощи - за медицинскую услугу, за посещение, за обращение (законченный случай)":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1.4.1. После </w:t>
      </w:r>
      <w:hyperlink r:id="rId11" w:history="1">
        <w:r>
          <w:rPr>
            <w:color w:val="0000FF"/>
          </w:rPr>
          <w:t>абзаца 6</w:t>
        </w:r>
      </w:hyperlink>
      <w:r>
        <w:t xml:space="preserve"> дополнить абзацем следующего содержания: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"Для медицинских организаций, имеющих в структуре мобильные медицинские бригады, устанавливаются повышающие коэффициенты в размере 1,05 - 1,2 к тарифам на посещения, обращения, медицинские услуги при оказании медицинской помощи мобильными медицинскими бригадами или устанавливаются отдельные тарифы на медицинские услуги, </w:t>
      </w:r>
      <w:r>
        <w:lastRenderedPageBreak/>
        <w:t>оказанные мобильными медицинскими бригадами.";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1.4.2. После </w:t>
      </w:r>
      <w:hyperlink r:id="rId12" w:history="1">
        <w:r>
          <w:rPr>
            <w:color w:val="0000FF"/>
          </w:rPr>
          <w:t>абзаца 12</w:t>
        </w:r>
      </w:hyperlink>
      <w:r>
        <w:t xml:space="preserve"> дополнить абзацем следующего содержания: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"В случае проведения мобильными медицинскими бригадами полного комплекса мероприятий в рамках профилактических осмотров, включая диспансеризацию, применяются повышающие коэффициенты к установленным в субъекте Российской Федерации тарифам в размере 1,05 - 1,2.".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2. В разделе IV "Оплата медицинской помощи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помощи)" после </w:t>
      </w:r>
      <w:hyperlink r:id="rId13" w:history="1">
        <w:r>
          <w:rPr>
            <w:color w:val="0000FF"/>
          </w:rPr>
          <w:t>абзаца 1</w:t>
        </w:r>
      </w:hyperlink>
      <w:r>
        <w:t xml:space="preserve"> дополнить абзацем следующего содержания: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"При этом при установлении значений дифференцированных подушевых нормативов финансирования в случае, если в субъекте Российской Федерации 5 и менее медицинских организаций, финансируемых с применением указанного способа оплаты, в группе допустимо наличие одной медицинской организации при условии обслуживания медицинской организацией районов с низкой плотностью населения и (или) низкой транспортной доступностью с учетом климатических и географических особенностей.".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Строку</w:t>
        </w:r>
      </w:hyperlink>
      <w:r>
        <w:t xml:space="preserve"> профиля "Гериатрия" Приложения 1 "Распределение КСГ заболеваний по профилям медицинской деятельности (КПГ) и коэффициенты относительной затратоемкости КСГ/КПГ (для медицинской помощи, оказанной в стационарных условиях)" изложить в следующей редакции: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</w:pPr>
      <w:r>
        <w:t>"</w:t>
      </w:r>
    </w:p>
    <w:p w:rsidR="00BF5DDB" w:rsidRDefault="00BF5DD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5839"/>
        <w:gridCol w:w="1701"/>
      </w:tblGrid>
      <w:tr w:rsidR="00BF5DDB">
        <w:tc>
          <w:tcPr>
            <w:tcW w:w="510" w:type="dxa"/>
          </w:tcPr>
          <w:p w:rsidR="00BF5DDB" w:rsidRDefault="00BF5D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BF5DDB" w:rsidRDefault="00BF5D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</w:tcPr>
          <w:p w:rsidR="00BF5DDB" w:rsidRDefault="00BF5DDB">
            <w:pPr>
              <w:pStyle w:val="ConsPlusNormal"/>
              <w:jc w:val="center"/>
            </w:pPr>
            <w:r>
              <w:t>Профиль (КПГ) и КСГ</w:t>
            </w:r>
          </w:p>
        </w:tc>
        <w:tc>
          <w:tcPr>
            <w:tcW w:w="1701" w:type="dxa"/>
          </w:tcPr>
          <w:p w:rsidR="00BF5DDB" w:rsidRDefault="00BF5DDB">
            <w:pPr>
              <w:pStyle w:val="ConsPlusNormal"/>
              <w:jc w:val="center"/>
            </w:pPr>
            <w:r>
              <w:t>Коэффициент относительной затратоемкости КСГ/КПГ</w:t>
            </w:r>
          </w:p>
        </w:tc>
      </w:tr>
      <w:tr w:rsidR="00BF5DDB">
        <w:tc>
          <w:tcPr>
            <w:tcW w:w="510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020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st38.001</w:t>
            </w:r>
          </w:p>
        </w:tc>
        <w:tc>
          <w:tcPr>
            <w:tcW w:w="5839" w:type="dxa"/>
            <w:vAlign w:val="center"/>
          </w:tcPr>
          <w:p w:rsidR="00BF5DDB" w:rsidRDefault="00BF5DDB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170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1,50</w:t>
            </w:r>
          </w:p>
        </w:tc>
      </w:tr>
    </w:tbl>
    <w:p w:rsidR="00BF5DDB" w:rsidRDefault="00BF5DDB">
      <w:pPr>
        <w:pStyle w:val="ConsPlusNormal"/>
        <w:jc w:val="right"/>
      </w:pPr>
      <w:r>
        <w:t>".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Приложении 3</w:t>
        </w:r>
      </w:hyperlink>
      <w:r>
        <w:t xml:space="preserve"> "Рекомендуемый перечень случаев, для которых установлен КСЛП" слова "относящимся к другому профилю" заменить словами "не включенным в перечень диагнозов, определенных КСГ "Соматические заболевания, осложненные старческой астенией".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 xml:space="preserve">5.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Приложением 8 следующего содержания: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right"/>
      </w:pPr>
      <w:r>
        <w:t>"Приложение 8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center"/>
      </w:pPr>
      <w:r>
        <w:t>ПОКАЗАТЕЛИ</w:t>
      </w:r>
    </w:p>
    <w:p w:rsidR="00BF5DDB" w:rsidRDefault="00BF5DDB">
      <w:pPr>
        <w:pStyle w:val="ConsPlusNormal"/>
        <w:jc w:val="center"/>
      </w:pPr>
      <w:r>
        <w:t>РЕЗУЛЬТАТИВНОСТИ ДЕЯТЕЛЬНОСТИ МЕДИЦИНСКОЙ ОРГАНИЗАЦИИ,</w:t>
      </w:r>
    </w:p>
    <w:p w:rsidR="00BF5DDB" w:rsidRDefault="00BF5DDB">
      <w:pPr>
        <w:pStyle w:val="ConsPlusNormal"/>
        <w:jc w:val="center"/>
      </w:pPr>
      <w:r>
        <w:t>ВНЕДРЯЮЩЕЙ НОВУЮ МОДЕЛЬ ОКАЗАНИЯ ГРАЖДАНАМ ПЕРВИЧНОЙ</w:t>
      </w:r>
    </w:p>
    <w:p w:rsidR="00BF5DDB" w:rsidRDefault="00BF5DDB">
      <w:pPr>
        <w:pStyle w:val="ConsPlusNormal"/>
        <w:jc w:val="center"/>
      </w:pPr>
      <w:r>
        <w:t>МЕДИКО-САНИТАРНОЙ ПОМОЩИ НА ПРИНЦИПАХ БЕРЕЖЛИВОГО</w:t>
      </w:r>
    </w:p>
    <w:p w:rsidR="00BF5DDB" w:rsidRDefault="00BF5DDB">
      <w:pPr>
        <w:pStyle w:val="ConsPlusNormal"/>
        <w:jc w:val="center"/>
      </w:pPr>
      <w:r>
        <w:t>ПРОИЗВОДСТВА (ОЦЕНИВАЮТСЯ ПРЕДСТАВИТЕЛЯМИ РЕГИОНАЛЬНОГО</w:t>
      </w:r>
    </w:p>
    <w:p w:rsidR="00BF5DDB" w:rsidRDefault="00BF5DDB">
      <w:pPr>
        <w:pStyle w:val="ConsPlusNormal"/>
        <w:jc w:val="center"/>
      </w:pPr>
      <w:r>
        <w:t>ЦЕНТРА ОРГАНИЗАЦИИ ПЕРВИЧНОЙ МЕДИКО-САНИТАРНОЙ ПОМОЩИ)</w:t>
      </w:r>
    </w:p>
    <w:p w:rsidR="00BF5DDB" w:rsidRDefault="00BF5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649"/>
        <w:gridCol w:w="2211"/>
        <w:gridCol w:w="1728"/>
      </w:tblGrid>
      <w:tr w:rsidR="00BF5DDB">
        <w:tc>
          <w:tcPr>
            <w:tcW w:w="454" w:type="dxa"/>
          </w:tcPr>
          <w:p w:rsidR="00BF5DDB" w:rsidRDefault="00BF5D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49" w:type="dxa"/>
          </w:tcPr>
          <w:p w:rsidR="00BF5DDB" w:rsidRDefault="00BF5DDB">
            <w:pPr>
              <w:pStyle w:val="ConsPlusNormal"/>
              <w:jc w:val="center"/>
            </w:pPr>
            <w:r>
              <w:t>Показатели &lt;*&gt;</w:t>
            </w:r>
          </w:p>
        </w:tc>
        <w:tc>
          <w:tcPr>
            <w:tcW w:w="2211" w:type="dxa"/>
          </w:tcPr>
          <w:p w:rsidR="00BF5DDB" w:rsidRDefault="00BF5DDB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1728" w:type="dxa"/>
          </w:tcPr>
          <w:p w:rsidR="00BF5DDB" w:rsidRDefault="00BF5DDB">
            <w:pPr>
              <w:pStyle w:val="ConsPlusNormal"/>
              <w:jc w:val="center"/>
            </w:pPr>
            <w:r>
              <w:t>Баллы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 более 3 пересечений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 более 1 пересечения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 более 1 действия, порождающего возврат по потоку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Количество мест в зоне (зонах) комфортного ожидания для пациентов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 менее 1 места на 200 посещений плановой мощности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Организация системы навигации в медицинской организации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Организация рабочих мест по системе 5С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Реализованы 3 и более шага в организации и поддержании порядка на рабочих местах по системе 5С для всех рабочих мест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Организация системы информирования в медицинской организации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Соответствие контрольному листу оценки системы информирования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Доля посещений по предварительной записи составляет не менее 90%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Обеспечение удаленной записи на прием в медицинские организации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 xml:space="preserve">Доля записей, произведенных без посещения поликлиники, </w:t>
            </w:r>
            <w:r>
              <w:lastRenderedPageBreak/>
              <w:t>составляет не менее 50%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lastRenderedPageBreak/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Обеспечение выполнения профилактического осмотра и (или) диспансеризации взрослого населения за минимальное количество посещений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 более 3 посещений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vAlign w:val="center"/>
          </w:tcPr>
          <w:p w:rsidR="00BF5DDB" w:rsidRDefault="00BF5DDB">
            <w:pPr>
              <w:pStyle w:val="ConsPlusNormal"/>
            </w:pPr>
            <w:r>
              <w:t>Работа системы подачи и реализации предложений по улучшению</w:t>
            </w:r>
          </w:p>
        </w:tc>
        <w:tc>
          <w:tcPr>
            <w:tcW w:w="2211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Доля реализованных улучшений на единицу персонала составляет не менее 30%</w:t>
            </w:r>
          </w:p>
        </w:tc>
        <w:tc>
          <w:tcPr>
            <w:tcW w:w="1728" w:type="dxa"/>
            <w:vAlign w:val="center"/>
          </w:tcPr>
          <w:p w:rsidR="00BF5DDB" w:rsidRDefault="00BF5DDB">
            <w:pPr>
              <w:pStyle w:val="ConsPlusNormal"/>
              <w:jc w:val="center"/>
            </w:pPr>
            <w:r>
              <w:t>Нет - 0 баллов</w:t>
            </w:r>
          </w:p>
          <w:p w:rsidR="00BF5DDB" w:rsidRDefault="00BF5DDB">
            <w:pPr>
              <w:pStyle w:val="ConsPlusNormal"/>
              <w:jc w:val="center"/>
            </w:pPr>
            <w:r>
              <w:t>Да - 1 балл</w:t>
            </w:r>
          </w:p>
        </w:tc>
      </w:tr>
      <w:tr w:rsidR="00BF5DDB">
        <w:tc>
          <w:tcPr>
            <w:tcW w:w="454" w:type="dxa"/>
          </w:tcPr>
          <w:p w:rsidR="00BF5DDB" w:rsidRDefault="00BF5DDB">
            <w:pPr>
              <w:pStyle w:val="ConsPlusNormal"/>
            </w:pPr>
          </w:p>
        </w:tc>
        <w:tc>
          <w:tcPr>
            <w:tcW w:w="4649" w:type="dxa"/>
          </w:tcPr>
          <w:p w:rsidR="00BF5DDB" w:rsidRDefault="00BF5DD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11" w:type="dxa"/>
          </w:tcPr>
          <w:p w:rsidR="00BF5DDB" w:rsidRDefault="00BF5DDB">
            <w:pPr>
              <w:pStyle w:val="ConsPlusNormal"/>
            </w:pPr>
          </w:p>
        </w:tc>
        <w:tc>
          <w:tcPr>
            <w:tcW w:w="1728" w:type="dxa"/>
          </w:tcPr>
          <w:p w:rsidR="00BF5DDB" w:rsidRDefault="00BF5DDB">
            <w:pPr>
              <w:pStyle w:val="ConsPlusNormal"/>
              <w:jc w:val="center"/>
            </w:pPr>
            <w:r>
              <w:t>11 баллов</w:t>
            </w:r>
          </w:p>
        </w:tc>
      </w:tr>
    </w:tbl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ind w:firstLine="540"/>
        <w:jc w:val="both"/>
      </w:pPr>
      <w:r>
        <w:t>--------------------------------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&lt;*&gt; Достижение показателей результативности деятельности "Бережливой поликлиники" осуществляется на основании следующей методики: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1. 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Оценивается одновременное нахождение у одного кабинета пациентов, направленных на диспансеризацию/профилактический медицинский осмотр с другими потоками пациентов. Пересечение потоков можно устранить как методом разведения их во времени (предварительная запись), так и в пространстве (различные кабинеты с одним функционалом). Оцениваются: регистратура, кабинет забора крови, кабинет врача-терапевта, проведение флюорографии, маммографии.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не более 3 пересечений.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2. 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Оценивается одновременное нахождение у одного кабинета пациентов, обратившихся для получения платных медицинских услуг, с пациентами, получающими медицинскую помощь в рамках обязательного медицинского страхования. Пересечение потоков можно устранить как методом разведения их во времени (предварительная запись), так и в пространстве (различные кабинеты с одним функционалом). Проверяется не менее 5 мест возможного пересечения: регистратура, кабинет забора крови, врач-терапевт, врачи-специалисты, диагностические кабинеты, проведение флюорографии, маммографии.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не более 1 пересечения.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3. Последовательность действий пациента в потоке процесса оказания ему медицинской помощи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Возврат по потоку - повторное посещение кабинета (окна) в рамках одного процесса. К процессам относятся: оформление листка нетрудоспособности, выписка лекарственных препаратов и др.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Пример возврата по потоку: возврат в кабинет врача-терапевта с целью подписи документа, проставления печатей.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lastRenderedPageBreak/>
        <w:t>Целевое значение: не более 1 действия, порождающего возврат по потоку.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4. Количество мест в зоне (зонах) комфортного ожидания для пациентов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Зона комфортного ожидания - это специально отведенное место в медицинской организации, отвечающее следующим критериям: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расположено вне зоны регистратуры или кабинета приема;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оборудовано местами, для комфортного ожидания (стулья, кресла, кушетки);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обеспечено кулером с водой и одноразовыми стаканами.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не менее 1 места на 200 посещений плановой мощности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5. Организация системы навигации в медицинской организации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Анализируются не менее 5 маршрутов поиска различных объектов (кабинетов, отделений, подразделений и других объектов).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поиск необходимой информации об объекте, в том числе в точке ветвления маршрута, занимает не более 30 секунд.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6. Организация рабочих мест по системе 5С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Оцениваются не менее 10 кабинетов методом случайного выбора. Оценка осуществляется по Проверочному листу оценки соответствия рабочего места системе 5С для медицинской организации.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реализованы 3 и более шага в организации и поддержании порядка на рабочих местах по системе 5С для всех рабочих мест.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7. Организация системы информирования в медицинской организации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Каждый составной элемент системы информирования посетителей медицинской организации расположен в месте приложения информации, обновляется по мере ее изменения, доступен для чтения, в том числе с использованием государственных языков республик, находящихся в составе Российской Федерации, других языков народов Российской Федерации, идентичных по содержанию и техническому оформлению государственному языку. В соответствии с контрольным листом оценки системы информирования в медицинской организации.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соответствие контрольному листу оценки системы информирования.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8. Обеспечение амбулаторного приема плановых пациентов врачами строго по времени и по предварительной записи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Оценка показателя осуществляется по данным медицинской информационной системы.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доля посещений по предварительной записи не менее 90%.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9. Обеспечение удаленной записи на прием в медицинские организации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Оценка показателя осуществляется по данным медицинской информационной системы.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доля записей, произведенных без посещения поликлиники, составляет не менее 50%.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lastRenderedPageBreak/>
        <w:t>10. Обеспечение выполнения профилактического осмотра и (или) диспансеризации взрослого населения за минимальное количество посещений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Для оценки показателя анализируется не менее 20 карт по случайному выбору.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Количество посещений может не соответствовать количеству дней прохождения диспансеризации/профилактического медицинского осмотра.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Пример: диспансеризация может быть проведена в 3 посещения в течение 2 дней.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не более 3 посещений.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11. Работа системы подачи и реализации предложений по улучшению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Предложение по улучшению - идея работника (группы работников), направленная на повышение результативности и эффективности любого вида деятельности медицинской организации, не требующая открытия отдельного проекта.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К предложениям по улучшению относятся: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улучшение состояния рабочих мест;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повышение эффективности использования ресурсов и материальных запасов;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упорядочение системы материально-технического обеспечения медицинской организации, в том числе сокращение времени доставки материальных запасов;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упорядочение системы учета и отчетности;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- изменение графиков работы и ремонта оборудования или транспортных средств, мест размещения оборудования и др., методов управления медицинской организацией.</w:t>
      </w:r>
    </w:p>
    <w:p w:rsidR="00BF5DDB" w:rsidRDefault="00BF5DDB">
      <w:pPr>
        <w:pStyle w:val="ConsPlusNormal"/>
        <w:spacing w:before="220"/>
        <w:ind w:firstLine="540"/>
        <w:jc w:val="both"/>
      </w:pPr>
      <w:r>
        <w:t>Целевое значение: доля реализованных улучшений на единицу персонала составляет не менее 30%.".</w:t>
      </w: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jc w:val="both"/>
      </w:pPr>
    </w:p>
    <w:p w:rsidR="00BF5DDB" w:rsidRDefault="00BF5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2FA" w:rsidRDefault="004222FA"/>
    <w:sectPr w:rsidR="004222FA" w:rsidSect="00C6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BF5DDB"/>
    <w:rsid w:val="004222FA"/>
    <w:rsid w:val="00B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CD45373559757120812EE89D46866D836B8F0D8B1A04464D866CC93A44333A3A6E578F310E4A85001E3519E25346E264EE993E74C5171p206M" TargetMode="External"/><Relationship Id="rId13" Type="http://schemas.openxmlformats.org/officeDocument/2006/relationships/hyperlink" Target="consultantplus://offline/ref=6EDCD45373559757120812EE89D46866D836B8F0D8B1A04464D866CC93A44333A3A6E578F310E2A15101E3519E25346E264EE993E74C5171p206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CD45373559757120812EE89D46866D836B8F0D8B1A04464D866CC93A44333A3A6E578F310E4A35301E3519E25346E264EE993E74C5171p206M" TargetMode="External"/><Relationship Id="rId12" Type="http://schemas.openxmlformats.org/officeDocument/2006/relationships/hyperlink" Target="consultantplus://offline/ref=6EDCD45373559757120812EE89D46866D836B8F0D8B1A04464D866CC93A44333A3A6E578F310E3A35D01E3519E25346E264EE993E74C5171p20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DCD45373559757120812EE89D46866D836B8F0D8B1A04464D866CC93A44333A3A6E578F310E7A15501E3519E25346E264EE993E74C5171p20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CD45373559757120812EE89D46866D836B8F0D8B1A04464D866CC93A44333A3A6E578F310E5A95101E3519E25346E264EE993E74C5171p206M" TargetMode="External"/><Relationship Id="rId11" Type="http://schemas.openxmlformats.org/officeDocument/2006/relationships/hyperlink" Target="consultantplus://offline/ref=6EDCD45373559757120812EE89D46866D836B8F0D8B1A04464D866CC93A44333A3A6E578F310E3A35701E3519E25346E264EE993E74C5171p206M" TargetMode="External"/><Relationship Id="rId5" Type="http://schemas.openxmlformats.org/officeDocument/2006/relationships/hyperlink" Target="consultantplus://offline/ref=6EDCD45373559757120812EE89D46866D836B8F0D8B1A04464D866CC93A44333A3A6E578F310E7A15501E3519E25346E264EE993E74C5171p206M" TargetMode="External"/><Relationship Id="rId15" Type="http://schemas.openxmlformats.org/officeDocument/2006/relationships/hyperlink" Target="consultantplus://offline/ref=6EDCD45373559757120812EE89D46866D836B8F0D8B1A04464D866CC93A44333A3A6E578F312EFA85701E3519E25346E264EE993E74C5171p206M" TargetMode="External"/><Relationship Id="rId10" Type="http://schemas.openxmlformats.org/officeDocument/2006/relationships/hyperlink" Target="consultantplus://offline/ref=6EDCD45373559757120812EE89D46866D836B8F0D8B1A04464D866CC93A44333A3A6E578F310E3A25401E3519E25346E264EE993E74C5171p20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DCD45373559757120812EE89D46866D836B8F0D8B1A04464D866CC93A44333A3A6E578F310E3A05301E3519E25346E264EE993E74C5171p206M" TargetMode="External"/><Relationship Id="rId14" Type="http://schemas.openxmlformats.org/officeDocument/2006/relationships/hyperlink" Target="consultantplus://offline/ref=6EDCD45373559757120812EE89D46866D836B8F0D8B1A04464D866CC93A44333A3A6E578F312E6A25701E3519E25346E264EE993E74C5171p20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14677</Characters>
  <Application>Microsoft Office Word</Application>
  <DocSecurity>0</DocSecurity>
  <Lines>122</Lines>
  <Paragraphs>34</Paragraphs>
  <ScaleCrop>false</ScaleCrop>
  <Company/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2019-07-03T12:52:00Z</dcterms:created>
  <dcterms:modified xsi:type="dcterms:W3CDTF">2019-07-03T12:52:00Z</dcterms:modified>
</cp:coreProperties>
</file>